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24" w:rsidRDefault="00213524">
      <w:r w:rsidRPr="00213524">
        <w:rPr>
          <w:i/>
        </w:rPr>
        <w:t>The Hatch Family: The Upper Middle Class</w:t>
      </w:r>
      <w:r>
        <w:t xml:space="preserve"> by Eastman Johnson (1871)</w:t>
      </w:r>
    </w:p>
    <w:p w:rsidR="00213524" w:rsidRDefault="00213524">
      <w:r w:rsidRPr="00213524">
        <w:drawing>
          <wp:inline distT="0" distB="0" distL="0" distR="0">
            <wp:extent cx="7419975" cy="5172075"/>
            <wp:effectExtent l="0" t="0" r="9525" b="9525"/>
            <wp:docPr id="2" name="Picture 2" descr="http://3.bp.blogspot.com/-_PGlSTIwJGQ/UD0C84LPAnI/AAAAAAAAL4U/E-mDNe1bU-w/s1600/Eastman+Johnson+-+The+Hatch+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_PGlSTIwJGQ/UD0C84LPAnI/AAAAAAAAL4U/E-mDNe1bU-w/s1600/Eastman+Johnson+-+The+Hatch+Fami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708" cy="51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38" w:rsidRDefault="00B20E38"/>
    <w:p w:rsidR="00213524" w:rsidRDefault="00213524">
      <w:r>
        <w:lastRenderedPageBreak/>
        <w:t xml:space="preserve">Mid-nineteenth century French engraving: </w:t>
      </w:r>
      <w:r w:rsidRPr="00213524">
        <w:rPr>
          <w:i/>
        </w:rPr>
        <w:t>The Ages of Woman</w:t>
      </w:r>
    </w:p>
    <w:p w:rsidR="00194EA2" w:rsidRDefault="00213524">
      <w:r w:rsidRPr="00213524">
        <w:drawing>
          <wp:inline distT="0" distB="0" distL="0" distR="0">
            <wp:extent cx="7334250" cy="4772025"/>
            <wp:effectExtent l="0" t="0" r="0" b="9525"/>
            <wp:docPr id="1" name="Picture 1" descr="http://www.art-prints-on-demand.com/kunst/french_school/the_ages_of_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prints-on-demand.com/kunst/french_school/the_ages_of_wo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90" w:rsidRDefault="00842990"/>
    <w:p w:rsidR="00842990" w:rsidRDefault="00842990"/>
    <w:p w:rsidR="00B20E38" w:rsidRDefault="00B20E38">
      <w:pPr>
        <w:sectPr w:rsidR="00B20E38" w:rsidSect="00B20E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13524" w:rsidRDefault="0025090F">
      <w:proofErr w:type="spellStart"/>
      <w:r>
        <w:lastRenderedPageBreak/>
        <w:t>Kathë</w:t>
      </w:r>
      <w:proofErr w:type="spellEnd"/>
      <w:r>
        <w:t xml:space="preserve"> Kollwitz, Lunch Hour: The Working Class. 1909 Germany.</w:t>
      </w:r>
    </w:p>
    <w:p w:rsidR="0025090F" w:rsidRDefault="0025090F">
      <w:r w:rsidRPr="0025090F">
        <w:drawing>
          <wp:inline distT="0" distB="0" distL="0" distR="0">
            <wp:extent cx="4829175" cy="4409630"/>
            <wp:effectExtent l="0" t="0" r="0" b="0"/>
            <wp:docPr id="3" name="Picture 3" descr="http://www.fineart-china.com/upload1/file-admin/images/new23/kathe%20kollwitz-37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neart-china.com/upload1/file-admin/images/new23/kathe%20kollwitz-3776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78" cy="441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0F" w:rsidRDefault="0025090F"/>
    <w:p w:rsidR="0025090F" w:rsidRDefault="0025090F"/>
    <w:p w:rsidR="0025090F" w:rsidRDefault="0025090F"/>
    <w:p w:rsidR="00B20E38" w:rsidRDefault="00B20E38"/>
    <w:p w:rsidR="00B20E38" w:rsidRDefault="00B20E38"/>
    <w:p w:rsidR="00B20E38" w:rsidRDefault="00B20E38"/>
    <w:p w:rsidR="00B20E38" w:rsidRDefault="00B20E38"/>
    <w:p w:rsidR="00B20E38" w:rsidRDefault="00B20E38"/>
    <w:p w:rsidR="00B20E38" w:rsidRDefault="00B20E38"/>
    <w:p w:rsidR="00B20E38" w:rsidRDefault="00B20E38"/>
    <w:p w:rsidR="00B20E38" w:rsidRDefault="00B20E38"/>
    <w:p w:rsidR="00B20E38" w:rsidRDefault="00B20E38"/>
    <w:p w:rsidR="0025090F" w:rsidRDefault="0025090F">
      <w:r>
        <w:lastRenderedPageBreak/>
        <w:t>Jacob Steinhardt, 1913. The City. German expressionism.</w:t>
      </w:r>
    </w:p>
    <w:p w:rsidR="0025090F" w:rsidRDefault="0025090F">
      <w:r>
        <w:rPr>
          <w:noProof/>
        </w:rPr>
        <w:drawing>
          <wp:inline distT="0" distB="0" distL="0" distR="0" wp14:anchorId="7F23B995" wp14:editId="7DDB836E">
            <wp:extent cx="4743450" cy="7077075"/>
            <wp:effectExtent l="0" t="0" r="0" b="9525"/>
            <wp:docPr id="5" name="Picture 5" descr="http://4.bp.blogspot.com/_Tyk2yoqzVkE/TC0TQ2TBoNI/AAAAAAAAAnA/9YBT9_ujhBw/s1600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Tyk2yoqzVkE/TC0TQ2TBoNI/AAAAAAAAAnA/9YBT9_ujhBw/s1600/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0F" w:rsidRDefault="0025090F"/>
    <w:p w:rsidR="0025090F" w:rsidRDefault="0025090F"/>
    <w:p w:rsidR="0025090F" w:rsidRDefault="0025090F"/>
    <w:p w:rsidR="0025090F" w:rsidRDefault="0025090F">
      <w:pPr>
        <w:sectPr w:rsidR="0025090F" w:rsidSect="00B20E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090F" w:rsidRDefault="0025090F"/>
    <w:p w:rsidR="00213524" w:rsidRDefault="0025090F">
      <w:r>
        <w:t xml:space="preserve">Leon Frederic, Belgium. The Ages of the Worker, 1985. </w:t>
      </w:r>
    </w:p>
    <w:p w:rsidR="00213524" w:rsidRDefault="00213524"/>
    <w:p w:rsidR="00213524" w:rsidRDefault="00842990">
      <w:r w:rsidRPr="00842990">
        <w:drawing>
          <wp:inline distT="0" distB="0" distL="0" distR="0">
            <wp:extent cx="7648575" cy="3800475"/>
            <wp:effectExtent l="0" t="0" r="9525" b="9525"/>
            <wp:docPr id="7" name="Picture 7" descr="The Ages of the Worker - Leon Fred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Ages of the Worker - Leon Fred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EF" w:rsidRDefault="003D24EF"/>
    <w:p w:rsidR="003D24EF" w:rsidRDefault="003D24EF"/>
    <w:p w:rsidR="003D24EF" w:rsidRDefault="003D24EF"/>
    <w:p w:rsidR="003D24EF" w:rsidRDefault="003D24EF"/>
    <w:p w:rsidR="003D24EF" w:rsidRDefault="00B20E38">
      <w:r>
        <w:lastRenderedPageBreak/>
        <w:t>Figure 1: Fawcett’s Liberal appeal for women’s suffrage.           Figure 2: The government’s reaction to feminism.</w:t>
      </w:r>
    </w:p>
    <w:p w:rsidR="003D24EF" w:rsidRDefault="003D24EF">
      <w:pPr>
        <w:sectPr w:rsidR="003D24EF" w:rsidSect="00B20E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D24EF">
        <w:drawing>
          <wp:inline distT="0" distB="0" distL="0" distR="0">
            <wp:extent cx="4410075" cy="5591175"/>
            <wp:effectExtent l="0" t="0" r="9525" b="9525"/>
            <wp:docPr id="8" name="Picture 8" descr="Image of why working women want the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of why working women want the vo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E38">
        <w:t xml:space="preserve">   </w:t>
      </w:r>
      <w:bookmarkStart w:id="0" w:name="_GoBack"/>
      <w:r>
        <w:rPr>
          <w:noProof/>
        </w:rPr>
        <w:drawing>
          <wp:inline distT="0" distB="0" distL="0" distR="0" wp14:anchorId="2931D410" wp14:editId="0EF880F5">
            <wp:extent cx="3695700" cy="5591175"/>
            <wp:effectExtent l="0" t="0" r="0" b="9525"/>
            <wp:docPr id="9" name="Picture 9" descr="https://blogs.warwick.ac.uk/images/mhillebrandt/2005/02/19/suffragettes2.jpg?maxWidth=800&amp;maxHeight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logs.warwick.ac.uk/images/mhillebrandt/2005/02/19/suffragettes2.jpg?maxWidth=800&amp;maxHeight=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4EF" w:rsidRDefault="003D24EF" w:rsidP="00B20E38"/>
    <w:sectPr w:rsidR="003D24EF" w:rsidSect="00B20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4"/>
    <w:rsid w:val="00194EA2"/>
    <w:rsid w:val="00213524"/>
    <w:rsid w:val="0025090F"/>
    <w:rsid w:val="003D24EF"/>
    <w:rsid w:val="00842990"/>
    <w:rsid w:val="00B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0803C-8F92-4C7B-99B4-2CAC47BF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2014-03-17T21:18:00Z</dcterms:created>
  <dcterms:modified xsi:type="dcterms:W3CDTF">2014-03-17T22:44:00Z</dcterms:modified>
</cp:coreProperties>
</file>